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1"/>
          <w:color w:val="000000"/>
          <w:sz w:val="28"/>
          <w:u w:val="none"/>
        </w:rPr>
      </w:pPr>
      <w:r>
        <w:rPr>
          <w:rFonts w:ascii="Times New Roman" w:hAnsi="Times New Roman"/>
          <w:b w:val="1"/>
          <w:color w:val="000000"/>
          <w:sz w:val="28"/>
          <w:u w:val="none"/>
        </w:rPr>
        <w:t>Прокуратура г. Электростали Московской области разъясняет: «</w:t>
      </w:r>
      <w:r>
        <w:rPr>
          <w:rFonts w:ascii="Times New Roman" w:hAnsi="Times New Roman"/>
          <w:b w:val="1"/>
          <w:color w:val="000000"/>
          <w:sz w:val="28"/>
          <w:u w:val="none"/>
        </w:rPr>
        <w:t>Организация деятельности по передаче абонентских номеров с нарушением требований законодательства с целью совершения преступлений повлечет наказание до 3 лет лишения свободы»</w:t>
      </w:r>
    </w:p>
    <w:p w14:paraId="02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Подписан Федеральный закон от 31.07.2025 № 282-ФЗ «О внесении изменений в отдельные законодательные акты Российской Федерации».</w:t>
      </w:r>
    </w:p>
    <w:p w14:paraId="03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Также, в частности, организация деятельности по передаче информации, необходимой для регистрации и (или) авторизации пользователя сети «Интернет» для получения доступа к функциональным возможностям информационного ресурса, иным лицам, если эти деяния совершены из корыстной заинтересованности либо в целях совершения иного преступления, будет наказываться штрафом в размере до 700 тысяч рублей или в размере заработной платы или иного дохода осужденного за период до 2 лет с лишением права занимать определенные должности или заниматься определенной деятельностью на срок до 2 лет или без такового, либо принудительными работами на срок до 3 лет, либо лишением свободы на тот же срок.</w:t>
      </w:r>
    </w:p>
    <w:p w14:paraId="04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Незаконное осуществление следственных, иных процессуальных действий и оперативно-разыскных мероприятий на территории РФ повлечет максимальное наказание в виде лишения свободы на срок до 5 лет.</w:t>
      </w:r>
    </w:p>
    <w:p w14:paraId="05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Кроме того, совершение преступления с использованием программно-аппаратных средств доступа к информационным ресурсам, информационно-телекоммуникационным сетям, доступ к которым ограничен, признано отягчающим обстоятельством.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2025-11-21T08:20:58Z</dcterms:modified>
</cp:coreProperties>
</file>